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72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省林业局关于</w:t>
      </w:r>
      <w:r>
        <w:rPr>
          <w:rFonts w:hint="eastAsia" w:ascii="方正小标宋简体" w:hAnsi="方正小标宋简体" w:eastAsia="方正小标宋简体"/>
          <w:sz w:val="44"/>
          <w:lang w:eastAsia="zh-CN"/>
        </w:rPr>
        <w:t>对</w:t>
      </w:r>
      <w:r>
        <w:rPr>
          <w:rFonts w:hint="eastAsia" w:ascii="方正小标宋简体" w:hAnsi="方正小标宋简体" w:eastAsia="方正小标宋简体"/>
          <w:sz w:val="44"/>
        </w:rPr>
        <w:t>画眉等国家重点保护鸟类</w:t>
      </w:r>
    </w:p>
    <w:p>
      <w:pPr>
        <w:spacing w:beforeLines="0" w:afterLines="0" w:line="72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lang w:eastAsia="zh-CN"/>
        </w:rPr>
        <w:t>实行标识</w:t>
      </w:r>
      <w:r>
        <w:rPr>
          <w:rFonts w:hint="eastAsia" w:ascii="方正小标宋简体" w:hAnsi="方正小标宋简体" w:eastAsia="方正小标宋简体"/>
          <w:sz w:val="44"/>
        </w:rPr>
        <w:t>管理的通知</w:t>
      </w:r>
    </w:p>
    <w:p>
      <w:pPr>
        <w:spacing w:beforeLines="0" w:afterLines="0" w:line="570" w:lineRule="exact"/>
        <w:jc w:val="center"/>
        <w:rPr>
          <w:rFonts w:hint="eastAsia" w:ascii="楷体_GB2312" w:hAnsi="楷体_GB2312" w:eastAsia="楷体_GB2312"/>
          <w:sz w:val="32"/>
          <w:lang w:val="en-US" w:eastAsia="zh-CN"/>
        </w:rPr>
      </w:pPr>
      <w:r>
        <w:rPr>
          <w:rFonts w:hint="eastAsia" w:ascii="楷体_GB2312" w:hAnsi="楷体_GB2312" w:eastAsia="楷体_GB2312"/>
          <w:sz w:val="32"/>
          <w:lang w:val="en-US" w:eastAsia="zh-CN"/>
        </w:rPr>
        <w:t>(征求意见稿)</w:t>
      </w:r>
    </w:p>
    <w:p>
      <w:pPr>
        <w:spacing w:beforeLines="0" w:afterLines="0" w:line="570" w:lineRule="exact"/>
        <w:jc w:val="center"/>
        <w:rPr>
          <w:rFonts w:hint="eastAsia" w:ascii="仿宋_GB2312" w:hAnsi="仿宋_GB2312" w:eastAsia="仿宋_GB2312"/>
          <w:sz w:val="32"/>
        </w:rPr>
      </w:pPr>
    </w:p>
    <w:p>
      <w:pPr>
        <w:spacing w:beforeLines="0" w:afterLines="0" w:line="570" w:lineRule="exact"/>
        <w:rPr>
          <w:rFonts w:hint="eastAsia" w:ascii="仿宋_GB2312" w:hAnsi="仿宋_GB2312" w:eastAsia="仿宋_GB2312"/>
          <w:sz w:val="32"/>
        </w:rPr>
      </w:pPr>
      <w:r>
        <w:rPr>
          <w:rFonts w:hint="eastAsia" w:ascii="仿宋_GB2312" w:hAnsi="仿宋_GB2312" w:eastAsia="仿宋_GB2312"/>
          <w:sz w:val="32"/>
        </w:rPr>
        <w:t>各市</w:t>
      </w:r>
      <w:r>
        <w:rPr>
          <w:rFonts w:hint="eastAsia" w:ascii="仿宋_GB2312" w:hAnsi="仿宋_GB2312" w:eastAsia="仿宋_GB2312"/>
          <w:sz w:val="32"/>
          <w:lang w:eastAsia="zh-CN"/>
        </w:rPr>
        <w:t>（</w:t>
      </w:r>
      <w:r>
        <w:rPr>
          <w:rFonts w:hint="eastAsia" w:ascii="仿宋_GB2312" w:hAnsi="仿宋_GB2312" w:eastAsia="仿宋_GB2312"/>
          <w:sz w:val="32"/>
        </w:rPr>
        <w:t>自治州</w:t>
      </w:r>
      <w:r>
        <w:rPr>
          <w:rFonts w:hint="eastAsia" w:ascii="仿宋_GB2312" w:hAnsi="仿宋_GB2312" w:eastAsia="仿宋_GB2312"/>
          <w:sz w:val="32"/>
          <w:lang w:eastAsia="zh-CN"/>
        </w:rPr>
        <w:t>）</w:t>
      </w:r>
      <w:r>
        <w:rPr>
          <w:rFonts w:hint="eastAsia" w:ascii="仿宋_GB2312" w:hAnsi="仿宋_GB2312" w:eastAsia="仿宋_GB2312"/>
          <w:sz w:val="32"/>
        </w:rPr>
        <w:t>林业局，各县（市、区、特区）林业主管部门：</w:t>
      </w:r>
    </w:p>
    <w:p>
      <w:pPr>
        <w:spacing w:beforeLines="0" w:afterLines="0"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val="en-US" w:eastAsia="zh-CN"/>
        </w:rPr>
        <w:t>2021年新版《国家重点保护野生动物名录》</w:t>
      </w:r>
      <w:r>
        <w:rPr>
          <w:rFonts w:hint="eastAsia" w:ascii="仿宋_GB2312" w:hAnsi="仿宋_GB2312" w:eastAsia="仿宋_GB2312"/>
          <w:sz w:val="32"/>
          <w:lang w:eastAsia="zh-CN"/>
        </w:rPr>
        <w:t>将</w:t>
      </w:r>
      <w:r>
        <w:rPr>
          <w:rFonts w:hint="eastAsia" w:ascii="仿宋_GB2312" w:hAnsi="仿宋_GB2312" w:eastAsia="仿宋_GB2312"/>
          <w:sz w:val="32"/>
        </w:rPr>
        <w:t>画眉、鹩哥、红胁绣眼鸟等传统笼养鸟类</w:t>
      </w:r>
      <w:r>
        <w:rPr>
          <w:rFonts w:hint="eastAsia" w:ascii="仿宋_GB2312" w:hAnsi="仿宋_GB2312" w:eastAsia="仿宋_GB2312"/>
          <w:sz w:val="32"/>
          <w:lang w:eastAsia="zh-CN"/>
        </w:rPr>
        <w:t>列为国家二级</w:t>
      </w:r>
      <w:r>
        <w:rPr>
          <w:rFonts w:hint="eastAsia" w:ascii="仿宋_GB2312" w:hAnsi="仿宋_GB2312" w:eastAsia="仿宋_GB2312"/>
          <w:sz w:val="32"/>
          <w:lang w:val="en-US" w:eastAsia="zh-CN"/>
        </w:rPr>
        <w:t>保护野生动物</w:t>
      </w:r>
      <w:r>
        <w:rPr>
          <w:rFonts w:hint="eastAsia" w:ascii="仿宋_GB2312" w:hAnsi="仿宋_GB2312" w:eastAsia="仿宋_GB2312"/>
          <w:sz w:val="32"/>
        </w:rPr>
        <w:t>。</w:t>
      </w:r>
      <w:r>
        <w:rPr>
          <w:rFonts w:hint="eastAsia" w:ascii="仿宋_GB2312" w:hAnsi="仿宋_GB2312" w:eastAsia="仿宋_GB2312"/>
          <w:sz w:val="32"/>
          <w:lang w:val="en-US" w:eastAsia="zh-CN"/>
        </w:rPr>
        <w:t>野生动物资源属于国家所有，禁止非法出售、购买、利用国家重点保护野生动物。</w:t>
      </w:r>
      <w:r>
        <w:rPr>
          <w:rFonts w:hint="eastAsia" w:ascii="仿宋_GB2312" w:hAnsi="仿宋_GB2312" w:eastAsia="仿宋_GB2312"/>
          <w:sz w:val="32"/>
          <w:lang w:eastAsia="zh-CN"/>
        </w:rPr>
        <w:t>为依法有效保护国家重点保护野生动物，决定对画眉</w:t>
      </w:r>
      <w:r>
        <w:rPr>
          <w:rFonts w:hint="eastAsia" w:ascii="仿宋_GB2312" w:hAnsi="仿宋_GB2312" w:eastAsia="仿宋_GB2312"/>
          <w:sz w:val="32"/>
        </w:rPr>
        <w:t>等国家重点保护鸟类</w:t>
      </w:r>
      <w:r>
        <w:rPr>
          <w:rFonts w:hint="eastAsia" w:ascii="仿宋_GB2312" w:hAnsi="仿宋_GB2312" w:eastAsia="仿宋_GB2312"/>
          <w:sz w:val="32"/>
          <w:lang w:eastAsia="zh-CN"/>
        </w:rPr>
        <w:t>实行标识管理，现将相关要求通知如下：</w:t>
      </w:r>
    </w:p>
    <w:p>
      <w:pPr>
        <w:spacing w:beforeLines="0" w:afterLines="0" w:line="570" w:lineRule="exact"/>
        <w:ind w:firstLine="640" w:firstLineChars="200"/>
        <w:rPr>
          <w:rFonts w:hint="eastAsia" w:ascii="黑体" w:hAnsi="黑体" w:eastAsia="黑体"/>
          <w:sz w:val="32"/>
          <w:lang w:eastAsia="zh-CN"/>
        </w:rPr>
      </w:pPr>
      <w:r>
        <w:rPr>
          <w:rFonts w:hint="eastAsia" w:ascii="黑体" w:hAnsi="黑体" w:eastAsia="黑体"/>
          <w:sz w:val="32"/>
          <w:lang w:eastAsia="zh-CN"/>
        </w:rPr>
        <w:t>一、明确标识管理范围</w:t>
      </w:r>
    </w:p>
    <w:p>
      <w:pPr>
        <w:spacing w:beforeLines="0" w:afterLines="0" w:line="570" w:lineRule="exact"/>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2021年新版《国家重点保护野生动物名录》公布前，个人已经笼养的画眉等野生动物作为人工养殖的宠物，原则上不办理人工繁育许可证，在经县级林业主管部门摸底登记的基础上，统一实行标识管理。标识脚环由省林业局委托国家林业和草原局野生动植物研究和发展中心统一定制，以市州林业局为单位统一领取发放至县级林业主管部门，由县级林业主管部门组织开展宣传教育、标识佩戴和信息档案录入统计等工作。</w:t>
      </w:r>
    </w:p>
    <w:p>
      <w:pPr>
        <w:spacing w:beforeLines="0" w:afterLines="0" w:line="570" w:lineRule="exact"/>
        <w:ind w:firstLine="640" w:firstLineChars="200"/>
        <w:rPr>
          <w:rFonts w:hint="eastAsia" w:ascii="黑体" w:hAnsi="黑体" w:eastAsia="黑体"/>
          <w:sz w:val="32"/>
        </w:rPr>
      </w:pPr>
      <w:r>
        <w:rPr>
          <w:rFonts w:hint="eastAsia" w:ascii="黑体" w:hAnsi="黑体" w:eastAsia="黑体"/>
          <w:sz w:val="32"/>
          <w:lang w:eastAsia="zh-CN"/>
        </w:rPr>
        <w:t>二</w:t>
      </w:r>
      <w:r>
        <w:rPr>
          <w:rFonts w:hint="eastAsia" w:ascii="黑体" w:hAnsi="黑体" w:eastAsia="黑体"/>
          <w:sz w:val="32"/>
        </w:rPr>
        <w:t>、落实保护监管责任</w:t>
      </w:r>
    </w:p>
    <w:p>
      <w:pPr>
        <w:spacing w:beforeLines="0" w:afterLines="0"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各级林业主管部门要切实履行属地保护监管职责，在鸟类栖息地和主要迁徙通道加强巡护值守，彻底清理各类鸟网、套夹、毒饵等非法猎捕工具。要全面清查辖区内鸟类人工繁育场所，逐一核实繁育资质、种类、来源和数量等，督促限期完善</w:t>
      </w:r>
      <w:r>
        <w:rPr>
          <w:rFonts w:hint="eastAsia" w:ascii="仿宋_GB2312" w:hAnsi="仿宋_GB2312" w:eastAsia="仿宋_GB2312"/>
          <w:sz w:val="32"/>
          <w:lang w:eastAsia="zh-CN"/>
        </w:rPr>
        <w:t>人工繁育许可</w:t>
      </w:r>
      <w:r>
        <w:rPr>
          <w:rFonts w:hint="eastAsia" w:ascii="仿宋_GB2312" w:hAnsi="仿宋_GB2312" w:eastAsia="仿宋_GB2312"/>
          <w:sz w:val="32"/>
        </w:rPr>
        <w:t>手续，对非法繁育活动坚决予以查处。要</w:t>
      </w:r>
      <w:r>
        <w:rPr>
          <w:rFonts w:hint="eastAsia" w:ascii="仿宋_GB2312" w:hAnsi="仿宋_GB2312" w:eastAsia="仿宋_GB2312"/>
          <w:sz w:val="32"/>
          <w:lang w:val="en-US" w:eastAsia="zh-CN"/>
        </w:rPr>
        <w:t>充分发挥野生动植物违法犯罪打击整治工作联席会议制度作用，结合“清风行动”“网盾行动”等，主动会同公安、市场监管、网信等相关部门搞好宣传教育，开展常态化执法，</w:t>
      </w:r>
      <w:r>
        <w:rPr>
          <w:rFonts w:hint="eastAsia" w:ascii="仿宋_GB2312" w:hAnsi="仿宋_GB2312" w:eastAsia="仿宋_GB2312"/>
          <w:sz w:val="32"/>
        </w:rPr>
        <w:t>严厉打击</w:t>
      </w:r>
      <w:r>
        <w:rPr>
          <w:rFonts w:hint="eastAsia" w:ascii="仿宋_GB2312" w:hAnsi="仿宋_GB2312" w:eastAsia="仿宋_GB2312"/>
          <w:sz w:val="32"/>
          <w:lang w:eastAsia="zh-CN"/>
        </w:rPr>
        <w:t>野外偷捕、非法</w:t>
      </w:r>
      <w:r>
        <w:rPr>
          <w:rFonts w:hint="eastAsia" w:ascii="仿宋_GB2312" w:hAnsi="仿宋_GB2312" w:eastAsia="仿宋_GB2312"/>
          <w:sz w:val="32"/>
        </w:rPr>
        <w:t>经营</w:t>
      </w:r>
      <w:r>
        <w:rPr>
          <w:rFonts w:hint="eastAsia" w:ascii="仿宋_GB2312" w:hAnsi="仿宋_GB2312" w:eastAsia="仿宋_GB2312"/>
          <w:sz w:val="32"/>
          <w:lang w:eastAsia="zh-CN"/>
        </w:rPr>
        <w:t>和</w:t>
      </w:r>
      <w:r>
        <w:rPr>
          <w:rFonts w:hint="eastAsia" w:ascii="仿宋_GB2312" w:hAnsi="仿宋_GB2312" w:eastAsia="仿宋_GB2312"/>
          <w:sz w:val="32"/>
        </w:rPr>
        <w:t>利用</w:t>
      </w:r>
      <w:r>
        <w:rPr>
          <w:rFonts w:hint="eastAsia" w:ascii="仿宋_GB2312" w:hAnsi="仿宋_GB2312" w:eastAsia="仿宋_GB2312"/>
          <w:sz w:val="32"/>
          <w:lang w:eastAsia="zh-CN"/>
        </w:rPr>
        <w:t>画眉等国家重点保护</w:t>
      </w:r>
      <w:r>
        <w:rPr>
          <w:rFonts w:hint="eastAsia" w:ascii="仿宋_GB2312" w:hAnsi="仿宋_GB2312" w:eastAsia="仿宋_GB2312"/>
          <w:sz w:val="32"/>
        </w:rPr>
        <w:t>鸟类</w:t>
      </w:r>
      <w:r>
        <w:rPr>
          <w:rFonts w:hint="eastAsia" w:ascii="仿宋_GB2312" w:hAnsi="仿宋_GB2312" w:eastAsia="仿宋_GB2312"/>
          <w:sz w:val="32"/>
          <w:lang w:eastAsia="zh-CN"/>
        </w:rPr>
        <w:t>行为，大力营造保护野生动物的良好社会氛围。</w:t>
      </w:r>
    </w:p>
    <w:p>
      <w:pPr>
        <w:spacing w:beforeLines="0" w:afterLines="0" w:line="570" w:lineRule="exact"/>
        <w:ind w:firstLine="640" w:firstLineChars="200"/>
        <w:rPr>
          <w:rFonts w:hint="eastAsia" w:ascii="黑体" w:hAnsi="黑体" w:eastAsia="黑体"/>
          <w:sz w:val="32"/>
        </w:rPr>
      </w:pPr>
      <w:r>
        <w:rPr>
          <w:rFonts w:hint="eastAsia" w:ascii="黑体" w:hAnsi="黑体" w:eastAsia="黑体"/>
          <w:sz w:val="32"/>
          <w:lang w:eastAsia="zh-CN"/>
        </w:rPr>
        <w:t>三</w:t>
      </w:r>
      <w:r>
        <w:rPr>
          <w:rFonts w:hint="eastAsia" w:ascii="黑体" w:hAnsi="黑体" w:eastAsia="黑体"/>
          <w:sz w:val="32"/>
        </w:rPr>
        <w:t>、鼓励人工繁育研究</w:t>
      </w:r>
    </w:p>
    <w:p>
      <w:pPr>
        <w:spacing w:beforeLines="0" w:afterLines="0" w:line="570" w:lineRule="exact"/>
        <w:ind w:firstLine="640" w:firstLineChars="200"/>
        <w:rPr>
          <w:rFonts w:hint="eastAsia" w:ascii="仿宋_GB2312" w:hAnsi="仿宋_GB2312" w:eastAsia="仿宋_GB2312"/>
          <w:sz w:val="32"/>
        </w:rPr>
      </w:pPr>
      <w:r>
        <w:rPr>
          <w:rFonts w:hint="eastAsia" w:ascii="仿宋_GB2312" w:hAnsi="仿宋_GB2312" w:eastAsia="仿宋_GB2312"/>
          <w:sz w:val="32"/>
        </w:rPr>
        <w:t>对画眉等我省群众有传统养殖习惯的鸟类，在加强野外种群保护</w:t>
      </w:r>
      <w:r>
        <w:rPr>
          <w:rFonts w:hint="eastAsia" w:ascii="仿宋_GB2312" w:hAnsi="仿宋_GB2312" w:eastAsia="仿宋_GB2312"/>
          <w:sz w:val="32"/>
          <w:lang w:eastAsia="zh-CN"/>
        </w:rPr>
        <w:t>、</w:t>
      </w:r>
      <w:r>
        <w:rPr>
          <w:rFonts w:hint="eastAsia" w:ascii="仿宋_GB2312" w:hAnsi="仿宋_GB2312" w:eastAsia="仿宋_GB2312"/>
          <w:sz w:val="32"/>
        </w:rPr>
        <w:t>打击违法经营利用的同时，按照保护优先、规范利用、严格监管的原则，鼓励高校、科研院所、自然保护区等机构以及企业、农村致富能手积极开展以非食用性利用为目的的人工繁育研究，指导</w:t>
      </w:r>
      <w:r>
        <w:rPr>
          <w:rFonts w:hint="eastAsia" w:ascii="仿宋_GB2312" w:hAnsi="仿宋_GB2312" w:eastAsia="仿宋_GB2312"/>
          <w:sz w:val="32"/>
          <w:lang w:eastAsia="zh-CN"/>
        </w:rPr>
        <w:t>办理</w:t>
      </w:r>
      <w:r>
        <w:rPr>
          <w:rFonts w:hint="eastAsia" w:ascii="仿宋_GB2312" w:hAnsi="仿宋_GB2312" w:eastAsia="仿宋_GB2312"/>
          <w:sz w:val="32"/>
        </w:rPr>
        <w:t>相关手续，做好有关鸟类个体</w:t>
      </w:r>
      <w:r>
        <w:rPr>
          <w:rFonts w:hint="eastAsia" w:ascii="仿宋_GB2312" w:hAnsi="仿宋_GB2312" w:eastAsia="仿宋_GB2312"/>
          <w:sz w:val="32"/>
          <w:lang w:eastAsia="zh-CN"/>
        </w:rPr>
        <w:t>标识</w:t>
      </w:r>
      <w:r>
        <w:rPr>
          <w:rFonts w:hint="eastAsia" w:ascii="仿宋_GB2312" w:hAnsi="仿宋_GB2312" w:eastAsia="仿宋_GB2312"/>
          <w:sz w:val="32"/>
        </w:rPr>
        <w:t>和信息登记，以实现人工繁育活动规范化</w:t>
      </w:r>
      <w:r>
        <w:rPr>
          <w:rFonts w:hint="eastAsia" w:ascii="仿宋_GB2312" w:hAnsi="仿宋_GB2312" w:eastAsia="仿宋_GB2312"/>
          <w:sz w:val="32"/>
          <w:lang w:eastAsia="zh-CN"/>
        </w:rPr>
        <w:t>。</w:t>
      </w:r>
    </w:p>
    <w:p>
      <w:pPr>
        <w:spacing w:beforeLines="0" w:afterLines="0" w:line="57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eastAsia="zh-CN"/>
        </w:rPr>
        <w:t>请各单位</w:t>
      </w:r>
      <w:r>
        <w:rPr>
          <w:rFonts w:hint="eastAsia" w:ascii="仿宋_GB2312" w:hAnsi="仿宋_GB2312" w:eastAsia="仿宋_GB2312"/>
          <w:sz w:val="32"/>
          <w:lang w:val="en-US" w:eastAsia="zh-CN"/>
        </w:rPr>
        <w:t>加大宣传力度，推进相关工作落实，</w:t>
      </w:r>
      <w:r>
        <w:rPr>
          <w:rFonts w:hint="eastAsia" w:ascii="仿宋_GB2312" w:hAnsi="仿宋_GB2312" w:eastAsia="仿宋_GB2312"/>
          <w:sz w:val="32"/>
          <w:lang w:eastAsia="zh-CN"/>
        </w:rPr>
        <w:t>于</w:t>
      </w:r>
      <w:r>
        <w:rPr>
          <w:rFonts w:hint="eastAsia" w:ascii="仿宋_GB2312" w:hAnsi="仿宋_GB2312" w:eastAsia="仿宋_GB2312"/>
          <w:sz w:val="32"/>
          <w:lang w:val="en-US" w:eastAsia="zh-CN"/>
        </w:rPr>
        <w:t>2023年6月底前完成画眉等国家重点保护鸟类标识登记。各市（自治州）林业局于2023年6月30日前将《画眉等标识管理信息统计表》（附件2）收集汇总后报送省林业局野生动植物保护处。</w:t>
      </w:r>
    </w:p>
    <w:p>
      <w:pPr>
        <w:spacing w:beforeLines="0" w:afterLines="0" w:line="57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联系人：周勇，电话：0851-86575417；</w:t>
      </w:r>
    </w:p>
    <w:p>
      <w:pPr>
        <w:spacing w:beforeLines="0" w:afterLines="0" w:line="57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邮箱：gzysdzwbh＠126.com。</w:t>
      </w:r>
    </w:p>
    <w:p>
      <w:pPr>
        <w:spacing w:beforeLines="0" w:afterLines="0" w:line="570" w:lineRule="exact"/>
        <w:ind w:firstLine="640" w:firstLineChars="200"/>
        <w:rPr>
          <w:rFonts w:hint="eastAsia" w:ascii="仿宋_GB2312" w:hAnsi="仿宋_GB2312" w:eastAsia="仿宋_GB2312"/>
          <w:sz w:val="32"/>
          <w:lang w:val="en-US" w:eastAsia="zh-CN"/>
        </w:rPr>
      </w:pPr>
    </w:p>
    <w:p>
      <w:pPr>
        <w:spacing w:beforeLines="0" w:afterLines="0" w:line="57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附件：1.</w:t>
      </w:r>
      <w:r>
        <w:rPr>
          <w:rFonts w:hint="eastAsia" w:ascii="仿宋_GB2312" w:hAnsi="仿宋_GB2312" w:eastAsia="仿宋_GB2312"/>
          <w:sz w:val="32"/>
          <w:lang w:eastAsia="zh-CN"/>
        </w:rPr>
        <w:t>画眉等标记个体信息档案</w:t>
      </w:r>
    </w:p>
    <w:p>
      <w:pPr>
        <w:numPr>
          <w:ilvl w:val="0"/>
          <w:numId w:val="0"/>
        </w:numPr>
        <w:tabs>
          <w:tab w:val="left" w:pos="796"/>
        </w:tabs>
        <w:spacing w:beforeLines="0" w:afterLines="0" w:line="570" w:lineRule="exact"/>
        <w:ind w:firstLine="1600" w:firstLineChars="500"/>
        <w:rPr>
          <w:rFonts w:hint="eastAsia"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画眉</w:t>
      </w:r>
      <w:r>
        <w:rPr>
          <w:rFonts w:hint="eastAsia" w:ascii="仿宋_GB2312" w:hAnsi="仿宋_GB2312" w:eastAsia="仿宋_GB2312"/>
          <w:sz w:val="32"/>
          <w:lang w:eastAsia="zh-CN"/>
        </w:rPr>
        <w:t>等</w:t>
      </w:r>
      <w:r>
        <w:rPr>
          <w:rFonts w:hint="eastAsia" w:ascii="仿宋_GB2312" w:hAnsi="仿宋_GB2312" w:eastAsia="仿宋_GB2312"/>
          <w:sz w:val="32"/>
        </w:rPr>
        <w:t>标识管理信息统计表</w:t>
      </w:r>
    </w:p>
    <w:p>
      <w:pPr>
        <w:tabs>
          <w:tab w:val="left" w:pos="6479"/>
        </w:tabs>
        <w:spacing w:beforeLines="0" w:afterLines="0" w:line="570" w:lineRule="exact"/>
        <w:ind w:firstLine="5760" w:firstLineChars="1800"/>
        <w:rPr>
          <w:rFonts w:hint="eastAsia" w:ascii="仿宋_GB2312" w:hAnsi="仿宋_GB2312" w:eastAsia="仿宋_GB2312"/>
          <w:sz w:val="32"/>
          <w:lang w:eastAsia="zh-CN"/>
        </w:rPr>
      </w:pPr>
    </w:p>
    <w:p>
      <w:pPr>
        <w:tabs>
          <w:tab w:val="left" w:pos="6479"/>
        </w:tabs>
        <w:spacing w:beforeLines="0" w:afterLines="0" w:line="570" w:lineRule="exact"/>
        <w:ind w:firstLine="5760" w:firstLineChars="1800"/>
        <w:rPr>
          <w:rFonts w:hint="eastAsia" w:ascii="仿宋_GB2312" w:hAnsi="仿宋_GB2312" w:eastAsia="仿宋_GB2312"/>
          <w:sz w:val="32"/>
          <w:lang w:eastAsia="zh-CN"/>
        </w:rPr>
      </w:pPr>
    </w:p>
    <w:p>
      <w:pPr>
        <w:tabs>
          <w:tab w:val="left" w:pos="6479"/>
        </w:tabs>
        <w:spacing w:beforeLines="0" w:afterLines="0" w:line="570" w:lineRule="exact"/>
        <w:ind w:firstLine="5760" w:firstLineChars="1800"/>
        <w:rPr>
          <w:rFonts w:hint="eastAsia" w:ascii="仿宋_GB2312" w:hAnsi="仿宋_GB2312" w:eastAsia="仿宋_GB2312"/>
          <w:sz w:val="32"/>
          <w:lang w:val="en-US" w:eastAsia="zh-CN"/>
        </w:rPr>
      </w:pPr>
      <w:r>
        <w:rPr>
          <w:rFonts w:hint="eastAsia" w:ascii="仿宋_GB2312" w:hAnsi="仿宋_GB2312" w:eastAsia="仿宋_GB2312"/>
          <w:sz w:val="32"/>
          <w:lang w:eastAsia="zh-CN"/>
        </w:rPr>
        <w:t>贵州省林业局</w:t>
      </w:r>
      <w:r>
        <w:rPr>
          <w:rFonts w:hint="eastAsia" w:ascii="仿宋_GB2312" w:hAnsi="仿宋_GB2312" w:eastAsia="仿宋_GB2312"/>
          <w:sz w:val="32"/>
          <w:lang w:eastAsia="zh-CN"/>
        </w:rPr>
        <w:tab/>
      </w:r>
      <w:r>
        <w:rPr>
          <w:rFonts w:hint="eastAsia" w:ascii="仿宋_GB2312" w:hAnsi="仿宋_GB2312" w:eastAsia="仿宋_GB2312"/>
          <w:sz w:val="32"/>
          <w:lang w:val="en-US" w:eastAsia="zh-CN"/>
        </w:rPr>
        <w:t xml:space="preserve"> </w:t>
      </w:r>
    </w:p>
    <w:p>
      <w:pPr>
        <w:spacing w:beforeLines="0" w:afterLines="0" w:line="570" w:lineRule="exact"/>
        <w:ind w:firstLine="5440" w:firstLineChars="1700"/>
        <w:rPr>
          <w:rFonts w:hint="eastAsia" w:ascii="仿宋_GB2312" w:hAnsi="仿宋_GB2312" w:eastAsia="仿宋_GB2312"/>
          <w:sz w:val="32"/>
          <w:lang w:eastAsia="zh-CN"/>
        </w:rPr>
      </w:pPr>
      <w:r>
        <w:rPr>
          <w:rFonts w:hint="eastAsia" w:ascii="仿宋_GB2312" w:hAnsi="仿宋_GB2312" w:eastAsia="仿宋_GB2312"/>
          <w:sz w:val="32"/>
          <w:lang w:eastAsia="zh-CN"/>
        </w:rPr>
        <w:t>2022年11月</w:t>
      </w:r>
      <w:r>
        <w:rPr>
          <w:rFonts w:hint="eastAsia" w:ascii="宋体" w:hAnsi="宋体"/>
          <w:sz w:val="32"/>
          <w:lang w:eastAsia="zh-CN"/>
        </w:rPr>
        <w:t>××</w:t>
      </w:r>
      <w:r>
        <w:rPr>
          <w:rFonts w:hint="eastAsia" w:ascii="仿宋_GB2312" w:hAnsi="仿宋_GB2312" w:eastAsia="仿宋_GB2312"/>
          <w:sz w:val="32"/>
          <w:lang w:eastAsia="zh-CN"/>
        </w:rPr>
        <w:t>日</w:t>
      </w:r>
    </w:p>
    <w:p>
      <w:pPr>
        <w:spacing w:beforeLines="0" w:afterLines="0" w:line="570" w:lineRule="exact"/>
        <w:rPr>
          <w:rFonts w:hint="eastAsia" w:ascii="仿宋_GB2312" w:hAnsi="仿宋_GB2312" w:eastAsia="仿宋_GB2312"/>
          <w:sz w:val="32"/>
        </w:rPr>
      </w:pPr>
    </w:p>
    <w:p>
      <w:pPr>
        <w:spacing w:beforeLines="0" w:afterLines="0" w:line="570" w:lineRule="exact"/>
        <w:jc w:val="left"/>
        <w:rPr>
          <w:rFonts w:hint="eastAsia" w:ascii="仿宋_GB2312" w:hAnsi="仿宋_GB2312" w:eastAsia="仿宋_GB2312"/>
          <w:sz w:val="32"/>
        </w:rPr>
      </w:pPr>
      <w:r>
        <w:rPr>
          <w:rFonts w:hint="eastAsia" w:ascii="仿宋_GB2312" w:hAnsi="仿宋_GB2312" w:eastAsia="仿宋_GB2312"/>
          <w:sz w:val="32"/>
        </w:rPr>
        <w:t xml:space="preserve">                                 </w:t>
      </w:r>
    </w:p>
    <w:p>
      <w:pPr>
        <w:spacing w:beforeLines="0" w:afterLines="0" w:line="570" w:lineRule="exact"/>
        <w:jc w:val="left"/>
        <w:rPr>
          <w:rFonts w:hint="eastAsia" w:ascii="仿宋_GB2312" w:hAnsi="仿宋_GB2312" w:eastAsia="仿宋_GB2312"/>
          <w:sz w:val="32"/>
        </w:rPr>
      </w:pPr>
    </w:p>
    <w:p>
      <w:pPr>
        <w:spacing w:beforeLines="0" w:afterLines="0" w:line="570" w:lineRule="exact"/>
        <w:jc w:val="left"/>
        <w:rPr>
          <w:rFonts w:hint="eastAsia" w:ascii="仿宋_GB2312" w:hAnsi="仿宋_GB2312" w:eastAsia="仿宋_GB2312"/>
          <w:sz w:val="32"/>
        </w:rPr>
      </w:pPr>
    </w:p>
    <w:p>
      <w:pPr>
        <w:spacing w:beforeLines="0" w:afterLines="0" w:line="570" w:lineRule="exact"/>
        <w:jc w:val="left"/>
        <w:rPr>
          <w:rFonts w:hint="eastAsia" w:ascii="仿宋_GB2312" w:hAnsi="仿宋_GB2312" w:eastAsia="仿宋_GB2312"/>
          <w:sz w:val="32"/>
        </w:rPr>
      </w:pPr>
    </w:p>
    <w:p>
      <w:pPr>
        <w:spacing w:beforeLines="0" w:afterLines="0" w:line="570" w:lineRule="exact"/>
        <w:jc w:val="center"/>
        <w:rPr>
          <w:rFonts w:hint="eastAsia"/>
          <w:sz w:val="44"/>
          <w:lang w:eastAsia="zh-CN"/>
        </w:rPr>
      </w:pPr>
    </w:p>
    <w:p>
      <w:pPr>
        <w:spacing w:beforeLines="0" w:afterLines="0" w:line="570" w:lineRule="exact"/>
        <w:jc w:val="center"/>
        <w:rPr>
          <w:rFonts w:hint="eastAsia"/>
          <w:sz w:val="44"/>
          <w:lang w:eastAsia="zh-CN"/>
        </w:rPr>
      </w:pPr>
    </w:p>
    <w:p>
      <w:pPr>
        <w:spacing w:beforeLines="0" w:afterLines="0" w:line="570" w:lineRule="exact"/>
        <w:jc w:val="center"/>
        <w:rPr>
          <w:rFonts w:hint="eastAsia"/>
          <w:sz w:val="44"/>
          <w:lang w:eastAsia="zh-CN"/>
        </w:rPr>
      </w:pPr>
    </w:p>
    <w:p>
      <w:pPr>
        <w:ind w:left="0" w:leftChars="0" w:firstLine="0" w:firstLineChars="0"/>
      </w:pPr>
      <w:bookmarkStart w:id="0" w:name="_GoBack"/>
      <w:bookmarkEnd w:id="0"/>
    </w:p>
    <w:sectPr>
      <w:footerReference r:id="rId3" w:type="default"/>
      <w:pgSz w:w="11906" w:h="16838"/>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posOffset>4772025</wp:posOffset>
              </wp:positionH>
              <wp:positionV relativeFrom="paragraph">
                <wp:posOffset>-610235</wp:posOffset>
              </wp:positionV>
              <wp:extent cx="826770" cy="5911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6770" cy="591185"/>
                      </a:xfrm>
                      <a:prstGeom prst="rect">
                        <a:avLst/>
                      </a:prstGeom>
                      <a:noFill/>
                      <a:ln>
                        <a:noFill/>
                      </a:ln>
                    </wps:spPr>
                    <wps:txbx>
                      <w:txbxContent>
                        <w:p>
                          <w:pPr>
                            <w:pStyle w:val="5"/>
                            <w:spacing w:beforeLines="0" w:afterLines="0"/>
                            <w:ind w:firstLine="280" w:firstLineChars="100"/>
                            <w:rPr>
                              <w:rFonts w:hint="eastAsia" w:ascii="宋体" w:hAnsi="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lIns="0" tIns="0" rIns="0" bIns="0" upright="1"/>
                  </wps:wsp>
                </a:graphicData>
              </a:graphic>
            </wp:anchor>
          </w:drawing>
        </mc:Choice>
        <mc:Fallback>
          <w:pict>
            <v:shape id="_x0000_s1026" o:spid="_x0000_s1026" o:spt="202" type="#_x0000_t202" style="position:absolute;left:0pt;margin-left:375.75pt;margin-top:-48.05pt;height:46.55pt;width:65.1pt;mso-position-horizontal-relative:margin;z-index:251659264;mso-width-relative:page;mso-height-relative:page;" filled="f" stroked="f" coordsize="21600,21600" o:gfxdata="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degvZAAAACgEAAA8AAAAAAAAA&#10;AQAgAAAAIgAAAGRycy9kb3ducmV2LnhtbFBLAQIUABQAAAAIAIdO4kAvINRLngEAACMDAAAOAAAA&#10;AAAAAAEAIAAAACgBAABkcnMvZTJvRG9jLnhtbFBLBQYAAAAABgAGAFkBAAA4BQAAAAA=&#10;">
              <v:path/>
              <v:fill on="f" focussize="0,0"/>
              <v:stroke on="f"/>
              <v:imagedata o:title=""/>
              <o:lock v:ext="edit" aspectratio="f"/>
              <v:textbox inset="0mm,0mm,0mm,0mm">
                <w:txbxContent>
                  <w:p>
                    <w:pPr>
                      <w:pStyle w:val="5"/>
                      <w:spacing w:beforeLines="0" w:afterLines="0"/>
                      <w:ind w:firstLine="280" w:firstLineChars="100"/>
                      <w:rPr>
                        <w:rFonts w:hint="eastAsia" w:ascii="宋体" w:hAnsi="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Lines="0" w:afterLines="0"/>
                            <w:rPr>
                              <w:rFonts w:hint="eastAsia"/>
                              <w:sz w:val="21"/>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v:imagedata o:title=""/>
              <o:lock v:ext="edit" aspectratio="f"/>
              <v:textbox inset="0mm,0mm,0mm,0mm" style="mso-fit-shape-to-text:t;">
                <w:txbxContent>
                  <w:p>
                    <w:pPr>
                      <w:spacing w:beforeLines="0" w:afterLines="0"/>
                      <w:rPr>
                        <w:rFonts w:hint="eastAsia"/>
                        <w:sz w:val="21"/>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86B50"/>
    <w:rsid w:val="013751F4"/>
    <w:rsid w:val="04AD4E4E"/>
    <w:rsid w:val="060935DF"/>
    <w:rsid w:val="064F5FC9"/>
    <w:rsid w:val="114A19C0"/>
    <w:rsid w:val="15FB22B5"/>
    <w:rsid w:val="1731448A"/>
    <w:rsid w:val="1CEF7C59"/>
    <w:rsid w:val="21C40A6A"/>
    <w:rsid w:val="2321004C"/>
    <w:rsid w:val="27E86B50"/>
    <w:rsid w:val="2BBF18BC"/>
    <w:rsid w:val="3AD44745"/>
    <w:rsid w:val="3B0C0440"/>
    <w:rsid w:val="3C8612CF"/>
    <w:rsid w:val="3CE07EAE"/>
    <w:rsid w:val="4AD04195"/>
    <w:rsid w:val="52BD36A4"/>
    <w:rsid w:val="54811534"/>
    <w:rsid w:val="5751112E"/>
    <w:rsid w:val="5C58586E"/>
    <w:rsid w:val="5C882F8B"/>
    <w:rsid w:val="627A0749"/>
    <w:rsid w:val="6994199C"/>
    <w:rsid w:val="69CD7FF1"/>
    <w:rsid w:val="6D641A48"/>
    <w:rsid w:val="71876505"/>
    <w:rsid w:val="77845A98"/>
    <w:rsid w:val="7F91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paragraph" w:styleId="2">
    <w:name w:val="heading 1"/>
    <w:basedOn w:val="1"/>
    <w:next w:val="1"/>
    <w:link w:val="8"/>
    <w:qFormat/>
    <w:uiPriority w:val="0"/>
    <w:pPr>
      <w:spacing w:line="720" w:lineRule="exact"/>
      <w:ind w:left="0" w:right="0" w:firstLine="0" w:firstLineChars="0"/>
      <w:jc w:val="center"/>
      <w:outlineLvl w:val="0"/>
    </w:pPr>
    <w:rPr>
      <w:rFonts w:ascii="方正小标宋简体" w:hAnsi="方正小标宋简体" w:eastAsia="方正小标宋简体" w:cs="方正小标宋简体"/>
      <w:sz w:val="44"/>
      <w:szCs w:val="36"/>
      <w:lang w:val="zh-CN" w:bidi="zh-CN"/>
    </w:rPr>
  </w:style>
  <w:style w:type="paragraph" w:styleId="3">
    <w:name w:val="heading 2"/>
    <w:basedOn w:val="1"/>
    <w:next w:val="1"/>
    <w:semiHidden/>
    <w:unhideWhenUsed/>
    <w:qFormat/>
    <w:uiPriority w:val="0"/>
    <w:pPr>
      <w:keepNext/>
      <w:keepLines/>
      <w:spacing w:line="570" w:lineRule="exact"/>
      <w:ind w:firstLine="880" w:firstLineChars="200"/>
      <w:outlineLvl w:val="1"/>
    </w:pPr>
    <w:rPr>
      <w:rFonts w:ascii="Times New Roman" w:hAnsi="Times New Roman" w:eastAsia="黑体" w:cstheme="minorBidi"/>
      <w:bCs/>
      <w:kern w:val="0"/>
      <w:sz w:val="32"/>
      <w:szCs w:val="28"/>
    </w:rPr>
  </w:style>
  <w:style w:type="paragraph" w:styleId="4">
    <w:name w:val="heading 3"/>
    <w:basedOn w:val="1"/>
    <w:next w:val="1"/>
    <w:semiHidden/>
    <w:unhideWhenUsed/>
    <w:qFormat/>
    <w:uiPriority w:val="0"/>
    <w:pPr>
      <w:keepNext/>
      <w:keepLines/>
      <w:spacing w:beforeLines="0" w:beforeAutospacing="0" w:afterLines="0" w:afterAutospacing="0" w:line="570" w:lineRule="exact"/>
      <w:ind w:firstLine="880" w:firstLineChars="200"/>
      <w:outlineLvl w:val="2"/>
    </w:pPr>
    <w:rPr>
      <w:rFonts w:eastAsia="楷体_GB2312" w:cs="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spacing w:beforeLines="0" w:afterLines="0"/>
      <w:jc w:val="left"/>
    </w:pPr>
    <w:rPr>
      <w:rFonts w:hint="default"/>
      <w:sz w:val="18"/>
    </w:rPr>
  </w:style>
  <w:style w:type="character" w:customStyle="1" w:styleId="8">
    <w:name w:val="标题 1 Char"/>
    <w:link w:val="2"/>
    <w:qFormat/>
    <w:uiPriority w:val="1"/>
    <w:rPr>
      <w:rFonts w:ascii="方正小标宋简体" w:hAnsi="方正小标宋简体" w:eastAsia="方正小标宋简体" w:cs="方正小标宋简体"/>
      <w:sz w:val="44"/>
      <w:szCs w:val="36"/>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2022-11-28T08:57:00Z</dcterms:created>
  <dc:creator>野保处公文收发员</dc:creator>
  <cp:lastModifiedBy>野保处公文收发员</cp:lastModifiedBy>
  <dcterms:modified xsi:type="dcterms:W3CDTF">2022-11-28T08:58:20Z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