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8"/>
          <w:szCs w:val="48"/>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贵州省公益林</w:t>
      </w:r>
      <w:r>
        <w:rPr>
          <w:rFonts w:hint="eastAsia" w:ascii="方正小标宋简体" w:hAnsi="方正小标宋简体" w:eastAsia="方正小标宋简体" w:cs="方正小标宋简体"/>
          <w:color w:val="auto"/>
          <w:sz w:val="44"/>
          <w:szCs w:val="44"/>
          <w:highlight w:val="none"/>
          <w:lang w:val="en-US" w:eastAsia="zh-CN"/>
        </w:rPr>
        <w:t>优化调整指导意见</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（征求意见</w:t>
      </w:r>
      <w:bookmarkStart w:id="3" w:name="_GoBack"/>
      <w:bookmarkEnd w:id="3"/>
      <w:r>
        <w:rPr>
          <w:rFonts w:hint="eastAsia" w:ascii="方正小标宋简体" w:hAnsi="方正小标宋简体" w:eastAsia="方正小标宋简体" w:cs="方正小标宋简体"/>
          <w:color w:val="auto"/>
          <w:sz w:val="44"/>
          <w:szCs w:val="44"/>
          <w:highlight w:val="none"/>
          <w:lang w:val="en-US" w:eastAsia="zh-CN"/>
        </w:rPr>
        <w:t>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Chars="200" w:right="0" w:rightChars="0"/>
        <w:jc w:val="left"/>
        <w:textAlignment w:val="auto"/>
        <w:outlineLvl w:val="9"/>
        <w:rPr>
          <w:rFonts w:hint="eastAsia" w:ascii="黑体" w:hAnsi="黑体" w:eastAsia="黑体" w:cs="黑体"/>
          <w:color w:val="auto"/>
          <w:sz w:val="32"/>
          <w:szCs w:val="32"/>
          <w:highlight w:val="no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left="0" w:right="0" w:firstLine="64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为深入贯彻中央和省深化集体林权制度改革要求，进一步精准划定公益林范围，保障林农合法权益。根据《中华人民共和国森林法》《国家级公益林区划界定办法》《国家级公益林管理办法》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（林资发〔2017〕34号）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《贵州省地方级公益林划定和管理办法》（黔府发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2号）</w:t>
      </w:r>
      <w:r>
        <w:rPr>
          <w:rFonts w:hint="eastAsia" w:ascii="仿宋_GB2312" w:hAnsi="仿宋_GB2312" w:eastAsia="仿宋_GB2312" w:cs="仿宋_GB2312"/>
          <w:i w:val="0"/>
          <w:caps w:val="0"/>
          <w:color w:val="000000" w:themeColor="text1"/>
          <w:spacing w:val="0"/>
          <w:sz w:val="32"/>
          <w:szCs w:val="32"/>
          <w:highlight w:val="none"/>
          <w:shd w:val="clear" w:color="auto" w:fill="FFFFFF"/>
          <w14:textFill>
            <w14:solidFill>
              <w14:schemeClr w14:val="tx1"/>
            </w14:solidFill>
          </w14:textFill>
        </w:rPr>
        <w:t>等法律法规和相关政策</w:t>
      </w:r>
      <w:r>
        <w:rPr>
          <w:rFonts w:hint="eastAsia" w:ascii="仿宋_GB2312" w:hAnsi="仿宋_GB2312"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规定</w:t>
      </w:r>
      <w:r>
        <w:rPr>
          <w:rFonts w:hint="eastAsia" w:ascii="仿宋_GB2312" w:hAnsi="仿宋_GB2312" w:eastAsia="仿宋_GB2312" w:cs="仿宋_GB2312"/>
          <w:i w:val="0"/>
          <w:caps w:val="0"/>
          <w:color w:val="000000" w:themeColor="text1"/>
          <w:spacing w:val="0"/>
          <w:sz w:val="32"/>
          <w:szCs w:val="32"/>
          <w:highlight w:val="none"/>
          <w:shd w:val="clear" w:color="auto" w:fill="FFFFFF"/>
          <w14:textFill>
            <w14:solidFill>
              <w14:schemeClr w14:val="tx1"/>
            </w14:solidFill>
          </w14:textFill>
        </w:rPr>
        <w:t>，结合我省实际，制定如下指导意见。</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益林的划定，应充分与地方各级国民经济和社会发展规划、国土空间规划、林地保护利用规划等相衔接，做好联动管理。公益林的调整，应坚持依法依规、实事求是、应调尽调、应划尽划、自主意愿，原则上每年可申报4次（县级可根据自身实际情况合理制定申报计划），调整不作总量平衡要求，调整后全省公益林总量占林地总量比例不低于40%。</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二、调整条件</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（一）公益林的补进。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以下生态区位的商品林应当补进公益林。其中，符合国家级公益林区划条件的，优先申请补进国家级公益林；不符合国家级公益林区划条件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的，可申请补进为地方级公益林。</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1.重要江河源头汇水区域；</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2.重要江河干流及支流两岸、饮用水水源地保护区；</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3.重要湿地和重要水库周围；</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4.森林和陆生野生动物类型的自然保护区；</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5.石漠化和水土流失严重地区；</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6.未开发利用的原始林地区；</w:t>
      </w:r>
    </w:p>
    <w:p>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0" w:lineRule="exact"/>
        <w:ind w:firstLine="640" w:firstLineChars="2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7.需要划定的其他区域。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（二）公益林的调出分为优化调出和一般调出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3"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有下列情况之一的，应当优化调出。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1.有林权纠纷且长期无法化解，导致公益林补偿资金无法正常兑现的公益林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2.现地核实或已确权登记为非林地的公益林；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3.已经合法永久征占用的公益林</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4.单块面积不足400㎡的孤立碎班公益林。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3" w:firstLineChars="200"/>
        <w:jc w:val="left"/>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除以上情形外，生态区位不重要、生态状况不脆弱的公益林应当一般调出。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一般调出应充分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尊重林权权利人意愿，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针对公益林中的人工林、不符合区划条件以及制约经济发展的，可优先申请调出。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（三）原则上不得调出补进情形</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1.原则上不得一般调出情形：一级国家级公益林</w:t>
      </w:r>
      <w:r>
        <w:rPr>
          <w:rFonts w:hint="eastAsia" w:ascii="仿宋_GB2312" w:hAnsi="仿宋_GB2312" w:eastAsia="仿宋_GB2312" w:cs="仿宋_GB2312"/>
          <w:b w:val="0"/>
          <w:bCs w:val="0"/>
          <w:strike w:val="0"/>
          <w:dstrike w:val="0"/>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涉及森林督察案件且未整改完成的</w:t>
      </w:r>
      <w:r>
        <w:rPr>
          <w:rFonts w:hint="eastAsia" w:ascii="仿宋_GB2312" w:hAnsi="仿宋_GB2312" w:eastAsia="仿宋_GB2312" w:cs="仿宋_GB2312"/>
          <w:b w:val="0"/>
          <w:bCs w:val="0"/>
          <w:strike w:val="0"/>
          <w:dstrike w:val="0"/>
          <w:color w:val="000000" w:themeColor="text1"/>
          <w:kern w:val="2"/>
          <w:sz w:val="32"/>
          <w:szCs w:val="32"/>
          <w:lang w:val="en-US" w:eastAsia="zh-CN" w:bidi="ar-SA"/>
          <w14:textFill>
            <w14:solidFill>
              <w14:schemeClr w14:val="tx1"/>
            </w14:solidFill>
          </w14:textFill>
        </w:rPr>
        <w:t>公益林</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；重要生态区位公益林（包括：重要江河和重要水库两岸、水源地保护区、自然保护地核心区）；省市级查验时认为不得调出的公益林。</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left"/>
        <w:rPr>
          <w:rFonts w:hint="default"/>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2.原则上不得补进情形：前期已批准调出</w:t>
      </w:r>
      <w:r>
        <w:rPr>
          <w:rFonts w:hint="eastAsia" w:ascii="仿宋_GB2312" w:hAnsi="仿宋_GB2312" w:eastAsia="仿宋_GB2312" w:cs="仿宋_GB2312"/>
          <w:b w:val="0"/>
          <w:bCs w:val="0"/>
          <w:strike w:val="0"/>
          <w:dstrike w:val="0"/>
          <w:color w:val="000000" w:themeColor="text1"/>
          <w:kern w:val="2"/>
          <w:sz w:val="32"/>
          <w:szCs w:val="32"/>
          <w:lang w:val="en-US" w:eastAsia="zh-CN" w:bidi="ar-SA"/>
          <w14:textFill>
            <w14:solidFill>
              <w14:schemeClr w14:val="tx1"/>
            </w14:solidFill>
          </w14:textFill>
        </w:rPr>
        <w:t>的</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；经济林、非林地、权属存在争议或不符合公益林生态区位的。</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三、调整程序</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（一）资料准备</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left"/>
        <w:textAlignment w:val="auto"/>
        <w:outlineLvl w:val="9"/>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1.补进的公益林，应具备以下资料：</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权属为非国有的：林权清晰，林权权利人有补进意愿的，由林权权利人征得林地所有权所属村民委员会同意后,向县级林业主管部门提出申请，由县级林业主管部门收集汇总林权权利人补进申请书，出具补进地块情况说明（说明是否包括以上不能补进情形）。</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权属为国有的：林权清晰，国有经营管理单位有补进意愿的，由国有经营管理单位职工代表大会或职工大会集体决议通过后，出具集体决议意见，向所在地县级林业主管部门提出申请，县级林业主管部门出具补进地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left"/>
        <w:textAlignment w:val="auto"/>
        <w:outlineLvl w:val="9"/>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2.优化调出的公益林区分不同的调整情况，应分别具备以下资料：</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①有林权纠纷且长期无法化解，导致公益林补偿资金无法正常兑现的公益林调出，出具调出必要性说明及调解印证材料。县域范围内的纠纷由县级林业主管部门出具；县与县之间的纠纷由市（州）林业局出具；跨市（州）县与县之间的纠纷由双方市（州）林业局出具；</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②现地核实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或已确权登记</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为非林地的公益林调出，由县级自然资源部门和林业主管部门共同出具确认说明；</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③合法永久征占用的公益林调出，由县级林业主管部门提供永久使用林地审核审批同意书。</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④单块面积不足400㎡的孤立碎班公益林调出，由县级林业主管部门出具碎班调出情况说明。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left"/>
        <w:textAlignment w:val="auto"/>
        <w:outlineLvl w:val="9"/>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3.一般调出的公益林，应具备以下资料：</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①权属为非国有的：林权清晰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林权权利人有调出意愿的，由林权权利人征得林地所有权所属村民委员会同意后，向县级林业主管部门提出申请，县级林业主管部门收集汇总林权权利人调出申请书。权属为国有的：</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林权清晰，国有经营管理单位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有调出意愿的，由</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国有经营管理单位职工代表大会或职工大会集体决议通过后，出具集体决议意见，向所在地县级林业主管部门提出申请。</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Calibri" w:hAnsi="Calibri" w:eastAsia="仿宋_GB2312" w:cs="Calibri"/>
          <w:color w:val="000000" w:themeColor="text1"/>
          <w:kern w:val="2"/>
          <w:sz w:val="32"/>
          <w:szCs w:val="32"/>
          <w:lang w:val="en-US" w:eastAsia="zh-CN" w:bidi="ar-SA"/>
          <w14:textFill>
            <w14:solidFill>
              <w14:schemeClr w14:val="tx1"/>
            </w14:solidFill>
          </w14:textFill>
        </w:rPr>
        <w:t>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由县级林业主管部门组织至少2名中级以上职称专业技术人员进行现场查验，针对生态区位、生态环境影响、林权权利人意愿、是否涉及森林督察案件及整改完成情况等出具查验报告。其中涉及生态保护红线范围内的公益林调出，还应由县级林业主管部门、自然资源部门和生态环境部门针对生态环境影响共同出具论证报告和调出意见；涉及森林督察案件已整改完成的，提供整改完成资料。</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3" w:firstLineChars="200"/>
        <w:jc w:val="left"/>
        <w:textAlignment w:val="auto"/>
        <w:outlineLvl w:val="9"/>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4.公示</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default"/>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以上所有调整情况，由县级林业主管部门或其委托单位按照公示程序和要求，在林地所有权所属村或国有</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经营管理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单位公示５个工作日无异议后，收集汇总公示材料。</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left="0" w:leftChars="0" w:right="0" w:rightChars="0" w:firstLine="640" w:firstLineChars="200"/>
        <w:jc w:val="left"/>
        <w:textAlignment w:val="auto"/>
        <w:outlineLvl w:val="9"/>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（二）编制县级成果</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jc w:val="both"/>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县级林业主管部门根据调整情况，编制本县区域内国家级或者地方级公益林优化调整成果，包括两个方面：</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国家级或者地方级公益林补进、调出情况及相关材料；</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国家级或者地方级公益林优化调整成果数据库。</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（三）县级成果上报</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级林业主管部门每季度可申报公益林调整1次。其中，国家级公益林优化调整成果由县级林业主管部门于每年3月1日、6月1日、9月1日、12月1日前上报至省林业局审查，并报市（自治州）林业局备案；地方级公益林优化调整成果，由</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县级林业主管部门于每年2月15日、5月15日、8月15日、11月15日前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报市（自治州）林业局初审，通过后由市（自治州）林业局汇总并于每年3月1日、6月1日、9月1日、12月1日前上报至省林业局审查。</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（四）省级审查和上报</w:t>
      </w:r>
    </w:p>
    <w:p>
      <w:pPr>
        <w:keepNext w:val="0"/>
        <w:keepLines w:val="0"/>
        <w:pageBreakBefore w:val="0"/>
        <w:widowControl w:val="0"/>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林业局按照申报情况及时组织对国家级和地方级公益林优化调整成果进行省级审查，完成后分别汇总形成全省国家级和地方级公益林优化调整成果，按程序和事权分别上报至国家林草局和省人民政府审定。其中，单次汇总全省国家级公益林调出面积不足1万亩的，按有关规定报省人民政府批复。</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四、成果启用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果获批后，由省林业局和省财政厅及时进行启用，全面运用于全省国家级或者地方级公益林资源保护管理工作，包括公益林优化调整、经营利用、建设项目使用林地审核审批、监督执法、确定林地保护等级、纳入林草湿荒调查监测成果、界定书和管护协议完善、下一年补偿资金申报和兑现等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right="0" w:rightChars="0" w:firstLine="640" w:firstLineChars="200"/>
        <w:jc w:val="left"/>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五、保障措施</w:t>
      </w:r>
    </w:p>
    <w:p>
      <w:pPr>
        <w:keepNext w:val="0"/>
        <w:keepLines w:val="0"/>
        <w:pageBreakBefore w:val="0"/>
        <w:kinsoku/>
        <w:wordWrap/>
        <w:overflowPunct/>
        <w:topLinePunct w:val="0"/>
        <w:autoSpaceDE/>
        <w:autoSpaceDN/>
        <w:bidi w:val="0"/>
        <w:adjustRightInd/>
        <w:snapToGrid/>
        <w:spacing w:beforeAutospacing="0" w:afterAutospacing="0" w:line="570" w:lineRule="exact"/>
        <w:ind w:left="0" w:leftChars="0" w:firstLine="640" w:firstLineChars="200"/>
        <w:jc w:val="left"/>
        <w:textAlignment w:val="baseline"/>
        <w:outlineLvl w:val="1"/>
        <w:rPr>
          <w:rFonts w:hint="default" w:ascii="Times New Roman" w:hAnsi="Times New Roman" w:eastAsia="楷体_GB2312" w:cs="Times New Roman"/>
          <w:b w:val="0"/>
          <w:bCs/>
          <w:i w:val="0"/>
          <w:caps w:val="0"/>
          <w:color w:val="000000" w:themeColor="text1"/>
          <w:spacing w:val="0"/>
          <w:w w:val="100"/>
          <w:sz w:val="32"/>
          <w:szCs w:val="32"/>
          <w14:textFill>
            <w14:solidFill>
              <w14:schemeClr w14:val="tx1"/>
            </w14:solidFill>
          </w14:textFill>
        </w:rPr>
      </w:pPr>
      <w:bookmarkStart w:id="0" w:name="_Toc12901"/>
      <w:bookmarkStart w:id="1" w:name="_Toc13270"/>
      <w:r>
        <w:rPr>
          <w:rFonts w:hint="default" w:ascii="Times New Roman" w:hAnsi="Times New Roman" w:eastAsia="楷体_GB2312" w:cs="Times New Roman"/>
          <w:b w:val="0"/>
          <w:bCs/>
          <w:i w:val="0"/>
          <w:caps w:val="0"/>
          <w:color w:val="000000" w:themeColor="text1"/>
          <w:spacing w:val="0"/>
          <w:w w:val="100"/>
          <w:sz w:val="32"/>
          <w:szCs w:val="32"/>
          <w14:textFill>
            <w14:solidFill>
              <w14:schemeClr w14:val="tx1"/>
            </w14:solidFill>
          </w14:textFill>
        </w:rPr>
        <w:t>（一）加强组织领导</w:t>
      </w:r>
      <w:bookmarkEnd w:id="0"/>
    </w:p>
    <w:p>
      <w:pPr>
        <w:keepNext w:val="0"/>
        <w:keepLines w:val="0"/>
        <w:pageBreakBefore w:val="0"/>
        <w:kinsoku/>
        <w:wordWrap/>
        <w:overflowPunct/>
        <w:topLinePunct w:val="0"/>
        <w:autoSpaceDE/>
        <w:autoSpaceDN/>
        <w:bidi w:val="0"/>
        <w:adjustRightInd/>
        <w:snapToGrid/>
        <w:spacing w:beforeAutospacing="0" w:afterAutospacing="0" w:line="570" w:lineRule="exact"/>
        <w:ind w:left="0" w:leftChars="0" w:firstLine="640" w:firstLineChars="200"/>
        <w:jc w:val="left"/>
        <w:textAlignment w:val="baseline"/>
        <w:outlineLvl w:val="1"/>
        <w:rPr>
          <w:rFonts w:hint="default"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bCs w:val="0"/>
          <w:i w:val="0"/>
          <w:caps w:val="0"/>
          <w:color w:val="000000" w:themeColor="text1"/>
          <w:spacing w:val="0"/>
          <w:w w:val="100"/>
          <w:sz w:val="32"/>
          <w:szCs w:val="32"/>
          <w:lang w:val="en-US" w:eastAsia="zh-CN"/>
          <w14:textFill>
            <w14:solidFill>
              <w14:schemeClr w14:val="tx1"/>
            </w14:solidFill>
          </w14:textFill>
        </w:rPr>
        <w:t>公益林的优化调整工作，在县级人民政府统一部署下开展，具体由县级林业主管部门组织申报。调整情况及时向县级人民政府报告。省、</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市林业局</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实行分级</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审核制度</w:t>
      </w:r>
      <w:r>
        <w:rPr>
          <w:rFonts w:hint="default" w:ascii="Times New Roman" w:hAnsi="Times New Roman" w:eastAsia="仿宋_GB2312"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对各县调整情况开展审查，确保调整符合要求。</w:t>
      </w:r>
    </w:p>
    <w:p>
      <w:pPr>
        <w:keepNext w:val="0"/>
        <w:keepLines w:val="0"/>
        <w:pageBreakBefore w:val="0"/>
        <w:kinsoku/>
        <w:wordWrap/>
        <w:overflowPunct/>
        <w:topLinePunct w:val="0"/>
        <w:autoSpaceDE/>
        <w:autoSpaceDN/>
        <w:bidi w:val="0"/>
        <w:adjustRightInd/>
        <w:snapToGrid/>
        <w:spacing w:beforeAutospacing="0" w:afterAutospacing="0" w:line="570" w:lineRule="exact"/>
        <w:ind w:left="0" w:leftChars="0" w:firstLine="640" w:firstLineChars="200"/>
        <w:jc w:val="left"/>
        <w:textAlignment w:val="baseline"/>
        <w:outlineLvl w:val="1"/>
        <w:rPr>
          <w:rFonts w:hint="default" w:ascii="Times New Roman" w:hAnsi="Times New Roman" w:eastAsia="楷体_GB2312" w:cs="Times New Roman"/>
          <w:b w:val="0"/>
          <w:bCs/>
          <w:i w:val="0"/>
          <w:caps w:val="0"/>
          <w:color w:val="000000" w:themeColor="text1"/>
          <w:spacing w:val="0"/>
          <w:w w:val="100"/>
          <w:sz w:val="32"/>
          <w:szCs w:val="32"/>
          <w14:textFill>
            <w14:solidFill>
              <w14:schemeClr w14:val="tx1"/>
            </w14:solidFill>
          </w14:textFill>
        </w:rPr>
      </w:pPr>
      <w:r>
        <w:rPr>
          <w:rFonts w:hint="default" w:ascii="Times New Roman" w:hAnsi="Times New Roman" w:eastAsia="楷体_GB2312" w:cs="Times New Roman"/>
          <w:b w:val="0"/>
          <w:bCs/>
          <w:i w:val="0"/>
          <w:caps w:val="0"/>
          <w:color w:val="000000" w:themeColor="text1"/>
          <w:spacing w:val="0"/>
          <w:w w:val="100"/>
          <w:sz w:val="32"/>
          <w:szCs w:val="32"/>
          <w14:textFill>
            <w14:solidFill>
              <w14:schemeClr w14:val="tx1"/>
            </w14:solidFill>
          </w14:textFill>
        </w:rPr>
        <w:t>（</w:t>
      </w:r>
      <w:r>
        <w:rPr>
          <w:rFonts w:hint="eastAsia" w:ascii="Times New Roman" w:hAnsi="Times New Roman" w:eastAsia="楷体_GB2312" w:cs="Times New Roman"/>
          <w:b w:val="0"/>
          <w:bCs/>
          <w:i w:val="0"/>
          <w:cap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楷体_GB2312" w:cs="Times New Roman"/>
          <w:b w:val="0"/>
          <w:bCs/>
          <w:i w:val="0"/>
          <w:caps w:val="0"/>
          <w:color w:val="000000" w:themeColor="text1"/>
          <w:spacing w:val="0"/>
          <w:w w:val="100"/>
          <w:sz w:val="32"/>
          <w:szCs w:val="32"/>
          <w14:textFill>
            <w14:solidFill>
              <w14:schemeClr w14:val="tx1"/>
            </w14:solidFill>
          </w14:textFill>
        </w:rPr>
        <w:t>）严格质量把控</w:t>
      </w:r>
      <w:bookmarkEnd w:id="1"/>
    </w:p>
    <w:p>
      <w:pPr>
        <w:keepNext w:val="0"/>
        <w:keepLines w:val="0"/>
        <w:pageBreakBefore w:val="0"/>
        <w:kinsoku/>
        <w:wordWrap/>
        <w:overflowPunct/>
        <w:topLinePunct w:val="0"/>
        <w:autoSpaceDE/>
        <w:autoSpaceDN/>
        <w:bidi w:val="0"/>
        <w:adjustRightInd/>
        <w:snapToGrid/>
        <w:spacing w:beforeAutospacing="0" w:afterAutospacing="0" w:line="570" w:lineRule="exact"/>
        <w:ind w:left="0" w:leftChars="0" w:firstLine="640" w:firstLineChars="200"/>
        <w:jc w:val="left"/>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各县对本辖区公益林优化调整工作负责，保证调整资料齐全、调整程序合法合规、调整结果真实、准确，</w:t>
      </w:r>
      <w:r>
        <w:rPr>
          <w:rFonts w:hint="eastAsia" w:ascii="Times New Roman" w:hAnsi="Times New Roman" w:eastAsia="仿宋_GB2312" w:cs="Times New Roman"/>
          <w:b w:val="0"/>
          <w:i w:val="0"/>
          <w:caps w:val="0"/>
          <w:color w:val="000000" w:themeColor="text1"/>
          <w:spacing w:val="0"/>
          <w:w w:val="100"/>
          <w:sz w:val="32"/>
          <w:szCs w:val="32"/>
          <w:u w:val="none"/>
          <w:lang w:val="en-US" w:eastAsia="zh-CN"/>
          <w14:textFill>
            <w14:solidFill>
              <w14:schemeClr w14:val="tx1"/>
            </w14:solidFill>
          </w14:textFill>
        </w:rPr>
        <w:t>调整情况务必</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逐级上报至省林业局审核，未经过审核的一律不得擅自调整。</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left"/>
        <w:textAlignment w:val="baseline"/>
        <w:outlineLvl w:val="1"/>
        <w:rPr>
          <w:rFonts w:hint="default" w:ascii="Times New Roman" w:hAnsi="Times New Roman" w:eastAsia="楷体_GB2312" w:cs="Times New Roman"/>
          <w:b w:val="0"/>
          <w:bCs/>
          <w:i w:val="0"/>
          <w:caps w:val="0"/>
          <w:color w:val="000000" w:themeColor="text1"/>
          <w:spacing w:val="0"/>
          <w:w w:val="100"/>
          <w:sz w:val="32"/>
          <w:szCs w:val="32"/>
          <w:lang w:val="en-US" w:eastAsia="zh-CN"/>
          <w14:textFill>
            <w14:solidFill>
              <w14:schemeClr w14:val="tx1"/>
            </w14:solidFill>
          </w14:textFill>
        </w:rPr>
      </w:pPr>
      <w:bookmarkStart w:id="2" w:name="_Toc22952"/>
      <w:r>
        <w:rPr>
          <w:rFonts w:hint="eastAsia" w:ascii="Times New Roman" w:hAnsi="Times New Roman" w:eastAsia="楷体_GB2312" w:cs="Times New Roman"/>
          <w:b w:val="0"/>
          <w:bCs/>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楷体_GB2312" w:cs="Times New Roman"/>
          <w:b w:val="0"/>
          <w:bCs/>
          <w:i w:val="0"/>
          <w:caps w:val="0"/>
          <w:color w:val="000000" w:themeColor="text1"/>
          <w:spacing w:val="0"/>
          <w:w w:val="100"/>
          <w:sz w:val="32"/>
          <w:szCs w:val="32"/>
          <w:lang w:val="en-US" w:eastAsia="zh-CN"/>
          <w14:textFill>
            <w14:solidFill>
              <w14:schemeClr w14:val="tx1"/>
            </w14:solidFill>
          </w14:textFill>
        </w:rPr>
        <w:t>三</w:t>
      </w:r>
      <w:r>
        <w:rPr>
          <w:rFonts w:hint="eastAsia" w:ascii="Times New Roman" w:hAnsi="Times New Roman" w:eastAsia="楷体_GB2312" w:cs="Times New Roman"/>
          <w:b w:val="0"/>
          <w:bCs/>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楷体_GB2312" w:cs="Times New Roman"/>
          <w:b w:val="0"/>
          <w:bCs/>
          <w:i w:val="0"/>
          <w:caps w:val="0"/>
          <w:color w:val="000000" w:themeColor="text1"/>
          <w:spacing w:val="0"/>
          <w:w w:val="100"/>
          <w:sz w:val="32"/>
          <w:szCs w:val="32"/>
          <w14:textFill>
            <w14:solidFill>
              <w14:schemeClr w14:val="tx1"/>
            </w14:solidFill>
          </w14:textFill>
        </w:rPr>
        <w:t>加强</w:t>
      </w:r>
      <w:bookmarkEnd w:id="2"/>
      <w:r>
        <w:rPr>
          <w:rFonts w:hint="eastAsia" w:ascii="Times New Roman" w:hAnsi="Times New Roman" w:eastAsia="楷体_GB2312" w:cs="Times New Roman"/>
          <w:b w:val="0"/>
          <w:bCs/>
          <w:i w:val="0"/>
          <w:caps w:val="0"/>
          <w:color w:val="000000" w:themeColor="text1"/>
          <w:spacing w:val="0"/>
          <w:w w:val="100"/>
          <w:sz w:val="32"/>
          <w:szCs w:val="32"/>
          <w:lang w:val="en-US" w:eastAsia="zh-CN"/>
          <w14:textFill>
            <w14:solidFill>
              <w14:schemeClr w14:val="tx1"/>
            </w14:solidFill>
          </w14:textFill>
        </w:rPr>
        <w:t>系统研判</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公益林调整</w:t>
      </w:r>
      <w:r>
        <w:rPr>
          <w:rFonts w:hint="eastAsia" w:eastAsia="仿宋_GB2312" w:cs="Times New Roman"/>
          <w:b w:val="0"/>
          <w:i w:val="0"/>
          <w:caps w:val="0"/>
          <w:color w:val="000000" w:themeColor="text1"/>
          <w:spacing w:val="0"/>
          <w:w w:val="100"/>
          <w:sz w:val="32"/>
          <w:szCs w:val="32"/>
          <w:lang w:val="en-US" w:eastAsia="zh-CN"/>
          <w14:textFill>
            <w14:solidFill>
              <w14:schemeClr w14:val="tx1"/>
            </w14:solidFill>
          </w14:textFill>
        </w:rPr>
        <w:t>应</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与国土变更调查、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林草湿荒调查监测</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、土地整治项目、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林地永久合法征占用</w:t>
      </w:r>
      <w:r>
        <w:rPr>
          <w:rFonts w:hint="eastAsia" w:ascii="Times New Roman" w:hAnsi="Times New Roman" w:eastAsia="仿宋_GB2312" w:cs="Times New Roman"/>
          <w:b w:val="0"/>
          <w:i w:val="0"/>
          <w:caps w:val="0"/>
          <w:color w:val="000000" w:themeColor="text1"/>
          <w:spacing w:val="0"/>
          <w:w w:val="100"/>
          <w:sz w:val="32"/>
          <w:szCs w:val="32"/>
          <w:lang w:val="en-US" w:eastAsia="zh-CN"/>
          <w14:textFill>
            <w14:solidFill>
              <w14:schemeClr w14:val="tx1"/>
            </w14:solidFill>
          </w14:textFill>
        </w:rPr>
        <w:t>密切衔接，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针对现状发生变化或不适宜继续纳入公益林管理的应及时申请调出公益林范围。</w:t>
      </w:r>
    </w:p>
    <w:p>
      <w:pPr>
        <w:keepNext w:val="0"/>
        <w:keepLines w:val="0"/>
        <w:pageBreakBefore w:val="0"/>
        <w:kinsoku/>
        <w:wordWrap/>
        <w:overflowPunct/>
        <w:topLinePunct w:val="0"/>
        <w:autoSpaceDE/>
        <w:autoSpaceDN/>
        <w:bidi w:val="0"/>
        <w:adjustRightInd/>
        <w:snapToGrid/>
        <w:spacing w:beforeAutospacing="0" w:afterAutospacing="0" w:line="570" w:lineRule="exact"/>
        <w:ind w:firstLine="640" w:firstLineChars="200"/>
        <w:jc w:val="left"/>
        <w:textAlignment w:val="baseline"/>
        <w:outlineLvl w:val="1"/>
        <w:rPr>
          <w:rFonts w:hint="default" w:ascii="Times New Roman" w:hAnsi="Times New Roman" w:eastAsia="楷体_GB2312" w:cs="Times New Roman"/>
          <w:b w:val="0"/>
          <w:bCs/>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楷体_GB2312" w:cs="Times New Roman"/>
          <w:b w:val="0"/>
          <w:bCs/>
          <w:i w:val="0"/>
          <w:caps w:val="0"/>
          <w:color w:val="000000" w:themeColor="text1"/>
          <w:spacing w:val="0"/>
          <w:w w:val="100"/>
          <w:sz w:val="32"/>
          <w:szCs w:val="32"/>
          <w:lang w:val="en-US" w:eastAsia="zh-CN"/>
          <w14:textFill>
            <w14:solidFill>
              <w14:schemeClr w14:val="tx1"/>
            </w14:solidFill>
          </w14:textFill>
        </w:rPr>
        <w:t>（四）落实经费保障</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left"/>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公益林调整应由各级林业主管部门按照各自责任划分和工作量，向同级财政申报工作经费，实行专款专用，同时各地可以统筹森林资源管理补助资金协同开展，确保工作落到实处。</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845"/>
        <w:tab w:val="clear" w:pos="4153"/>
      </w:tabs>
      <w:rPr>
        <w:rFonts w:hint="eastAsia" w:ascii="仿宋_GB2312" w:hAnsi="仿宋_GB2312" w:eastAsia="仿宋_GB2312" w:cs="仿宋_GB2312"/>
        <w:sz w:val="32"/>
        <w:szCs w:val="32"/>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8240;mso-width-relative:page;mso-height-relative:page;" filled="f" stroked="f" coordsize="21600,21600" o:gfxdata="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shAo1QAAAAc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r>
      <w:rPr>
        <w:rFonts w:hint="eastAsia"/>
        <w:lang w:eastAsia="zh-CN"/>
      </w:rPr>
      <w:tab/>
    </w:r>
    <w:r>
      <w:rPr>
        <w:rFonts w:hint="eastAsia" w:ascii="仿宋_GB2312" w:hAnsi="仿宋_GB2312" w:eastAsia="仿宋_GB2312" w:cs="仿宋_GB2312"/>
        <w:sz w:val="32"/>
        <w:szCs w:val="32"/>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053DC"/>
    <w:rsid w:val="0A3854D6"/>
    <w:rsid w:val="0B2B476E"/>
    <w:rsid w:val="0F7558C9"/>
    <w:rsid w:val="124C6603"/>
    <w:rsid w:val="1271050F"/>
    <w:rsid w:val="1DFC72FF"/>
    <w:rsid w:val="1EFC0992"/>
    <w:rsid w:val="21280B52"/>
    <w:rsid w:val="23E42400"/>
    <w:rsid w:val="27E053DC"/>
    <w:rsid w:val="37E4524A"/>
    <w:rsid w:val="39FB0D98"/>
    <w:rsid w:val="3B9059E4"/>
    <w:rsid w:val="3B9A4B9A"/>
    <w:rsid w:val="3F704636"/>
    <w:rsid w:val="461F2504"/>
    <w:rsid w:val="46CA573D"/>
    <w:rsid w:val="4A5D467E"/>
    <w:rsid w:val="4AFBC837"/>
    <w:rsid w:val="557C21C1"/>
    <w:rsid w:val="605B29B3"/>
    <w:rsid w:val="61D3544E"/>
    <w:rsid w:val="6EDA2983"/>
    <w:rsid w:val="6F710C51"/>
    <w:rsid w:val="73EBF365"/>
    <w:rsid w:val="75505E63"/>
    <w:rsid w:val="76D01575"/>
    <w:rsid w:val="7D886656"/>
    <w:rsid w:val="7EAB4E1D"/>
    <w:rsid w:val="7F9E7E96"/>
    <w:rsid w:val="7FDF493F"/>
    <w:rsid w:val="BF3D2101"/>
    <w:rsid w:val="BF542148"/>
    <w:rsid w:val="DD9EF4DA"/>
    <w:rsid w:val="DFFFB21C"/>
    <w:rsid w:val="EF3D4D33"/>
    <w:rsid w:val="F34F420D"/>
    <w:rsid w:val="FEB72287"/>
    <w:rsid w:val="FFD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qFormat/>
    <w:uiPriority w:val="0"/>
    <w:pPr>
      <w:spacing w:line="560" w:lineRule="exact"/>
      <w:ind w:firstLine="640" w:firstLineChars="200"/>
    </w:pPr>
    <w:rPr>
      <w:rFonts w:ascii="方正仿宋_GB2312" w:eastAsia="方正仿宋_GB2312" w:cs="方正仿宋_GB2312"/>
      <w:sz w:val="32"/>
      <w:szCs w:val="32"/>
    </w:rPr>
  </w:style>
  <w:style w:type="paragraph" w:styleId="6">
    <w:name w:val="Normal (Web)"/>
    <w:basedOn w:val="1"/>
    <w:next w:val="5"/>
    <w:qFormat/>
    <w:uiPriority w:val="0"/>
    <w:pPr>
      <w:spacing w:beforeAutospacing="1" w:afterAutospacing="1"/>
      <w:jc w:val="left"/>
    </w:pPr>
    <w:rPr>
      <w:rFonts w:cs="Times New Roman"/>
      <w:kern w:val="0"/>
      <w:sz w:val="24"/>
    </w:rPr>
  </w:style>
  <w:style w:type="paragraph" w:customStyle="1" w:styleId="9">
    <w:name w:val="contenttext"/>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customStyle="1" w:styleId="10">
    <w:name w:val="bjh-p"/>
    <w:basedOn w:val="8"/>
    <w:qFormat/>
    <w:uiPriority w:val="0"/>
  </w:style>
  <w:style w:type="paragraph" w:customStyle="1" w:styleId="11">
    <w:name w:val="正文-公1"/>
    <w:basedOn w:val="12"/>
    <w:next w:val="13"/>
    <w:qFormat/>
    <w:uiPriority w:val="0"/>
    <w:pPr>
      <w:ind w:firstLine="200" w:firstLineChars="200"/>
    </w:pPr>
    <w:rPr>
      <w:rFonts w:ascii="Times New Roman" w:hAnsi="Times New Roman"/>
      <w:szCs w:val="21"/>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普通(网站)1"/>
    <w:basedOn w:val="1"/>
    <w:next w:val="14"/>
    <w:qFormat/>
    <w:uiPriority w:val="99"/>
    <w:pPr>
      <w:widowControl/>
      <w:spacing w:before="100" w:beforeLines="0" w:beforeAutospacing="1" w:after="100" w:afterLines="0" w:afterAutospacing="1" w:line="360" w:lineRule="auto"/>
      <w:jc w:val="left"/>
    </w:pPr>
    <w:rPr>
      <w:rFonts w:ascii="宋体" w:hAnsi="宋体" w:cs="宋体"/>
      <w:color w:val="000000"/>
      <w:kern w:val="0"/>
      <w:sz w:val="28"/>
      <w:szCs w:val="28"/>
    </w:rPr>
  </w:style>
  <w:style w:type="paragraph" w:customStyle="1" w:styleId="14">
    <w:name w:val="索引 91"/>
    <w:basedOn w:val="1"/>
    <w:next w:val="1"/>
    <w:qFormat/>
    <w:uiPriority w:val="99"/>
    <w:pPr>
      <w:ind w:left="1600" w:leftChars="16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2024-10-23T00:43:00Z</dcterms:created>
  <dc:creator>涂阳新</dc:creator>
  <cp:lastModifiedBy>涂阳新</cp:lastModifiedBy>
  <dcterms:modified xsi:type="dcterms:W3CDTF">2025-12-24T08:13:56Z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AE91A3491BA7D991E29D1A69DE37A124</vt:lpwstr>
  </property>
</Properties>
</file>